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00000" w:rsidRDefault="002943A5">
      <w:pPr>
        <w:rPr>
          <w:sz w:val="28"/>
          <w:szCs w:val="28"/>
        </w:rPr>
      </w:pPr>
      <w:r w:rsidRPr="002943A5">
        <w:rPr>
          <w:sz w:val="28"/>
          <w:szCs w:val="28"/>
        </w:rPr>
        <w:t>Policy 7.7</w:t>
      </w:r>
      <w:r>
        <w:rPr>
          <w:sz w:val="28"/>
          <w:szCs w:val="28"/>
        </w:rPr>
        <w:t xml:space="preserve"> – Exclusion table </w:t>
      </w:r>
    </w:p>
    <w:p w:rsidR="002943A5" w:rsidRDefault="002943A5">
      <w:pPr>
        <w:rPr>
          <w:sz w:val="28"/>
          <w:szCs w:val="28"/>
        </w:rPr>
      </w:pPr>
      <w:r>
        <w:rPr>
          <w:sz w:val="28"/>
          <w:szCs w:val="28"/>
        </w:rPr>
        <w:t xml:space="preserve">This guidance refers to Public Health exclusions in indicate a time period an individual should not attend a setting to reduce the risk of transmission during the infectious stage. At Stowey Bears we have implemented our own exclusion policies to ensure the setting stops the spread of infection. </w:t>
      </w:r>
    </w:p>
    <w:tbl>
      <w:tblPr>
        <w:tblStyle w:val="TableGrid"/>
        <w:tblW w:w="10485" w:type="dxa"/>
        <w:tblInd w:w="-736" w:type="dxa"/>
        <w:tblLook w:val="04A0" w:firstRow="1" w:lastRow="0" w:firstColumn="1" w:lastColumn="0" w:noHBand="0" w:noVBand="1"/>
      </w:tblPr>
      <w:tblGrid>
        <w:gridCol w:w="2254"/>
        <w:gridCol w:w="4687"/>
        <w:gridCol w:w="3544"/>
      </w:tblGrid>
      <w:tr w:rsidR="002943A5" w:rsidTr="002943A5">
        <w:tc>
          <w:tcPr>
            <w:tcW w:w="2254" w:type="dxa"/>
          </w:tcPr>
          <w:p w:rsidR="002943A5" w:rsidRDefault="002943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Infection </w:t>
            </w:r>
          </w:p>
        </w:tc>
        <w:tc>
          <w:tcPr>
            <w:tcW w:w="4687" w:type="dxa"/>
          </w:tcPr>
          <w:p w:rsidR="002943A5" w:rsidRDefault="002943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Exclusion period from Stowey Bears</w:t>
            </w:r>
          </w:p>
        </w:tc>
        <w:tc>
          <w:tcPr>
            <w:tcW w:w="3544" w:type="dxa"/>
          </w:tcPr>
          <w:p w:rsidR="002943A5" w:rsidRDefault="002943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Comments </w:t>
            </w:r>
          </w:p>
        </w:tc>
      </w:tr>
      <w:tr w:rsidR="002943A5" w:rsidTr="002943A5">
        <w:tc>
          <w:tcPr>
            <w:tcW w:w="2254" w:type="dxa"/>
          </w:tcPr>
          <w:p w:rsidR="002943A5" w:rsidRDefault="002943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Athletes Foot </w:t>
            </w:r>
          </w:p>
        </w:tc>
        <w:tc>
          <w:tcPr>
            <w:tcW w:w="4687" w:type="dxa"/>
          </w:tcPr>
          <w:p w:rsidR="002943A5" w:rsidRDefault="002943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None</w:t>
            </w:r>
          </w:p>
        </w:tc>
        <w:tc>
          <w:tcPr>
            <w:tcW w:w="3544" w:type="dxa"/>
          </w:tcPr>
          <w:p w:rsidR="002943A5" w:rsidRPr="002943A5" w:rsidRDefault="002943A5">
            <w:pPr>
              <w:rPr>
                <w:sz w:val="26"/>
                <w:szCs w:val="26"/>
              </w:rPr>
            </w:pPr>
            <w:r w:rsidRPr="002943A5">
              <w:rPr>
                <w:sz w:val="26"/>
                <w:szCs w:val="26"/>
              </w:rPr>
              <w:t>Children should not be barefoot</w:t>
            </w:r>
            <w:r>
              <w:rPr>
                <w:sz w:val="26"/>
                <w:szCs w:val="26"/>
              </w:rPr>
              <w:t xml:space="preserve"> in our setting,</w:t>
            </w:r>
          </w:p>
        </w:tc>
      </w:tr>
      <w:tr w:rsidR="002943A5" w:rsidTr="002943A5">
        <w:tc>
          <w:tcPr>
            <w:tcW w:w="2254" w:type="dxa"/>
          </w:tcPr>
          <w:p w:rsidR="002943A5" w:rsidRDefault="002943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Chickenpox</w:t>
            </w:r>
          </w:p>
        </w:tc>
        <w:tc>
          <w:tcPr>
            <w:tcW w:w="4687" w:type="dxa"/>
          </w:tcPr>
          <w:p w:rsidR="002943A5" w:rsidRDefault="002943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 Days exclusion period from the onset of rash and until all blisters have crusted over </w:t>
            </w:r>
          </w:p>
        </w:tc>
        <w:tc>
          <w:tcPr>
            <w:tcW w:w="3544" w:type="dxa"/>
          </w:tcPr>
          <w:p w:rsidR="002943A5" w:rsidRDefault="002943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Pregnant staff to contact their GP or midwife. </w:t>
            </w:r>
          </w:p>
        </w:tc>
      </w:tr>
      <w:tr w:rsidR="002943A5" w:rsidTr="002943A5">
        <w:tc>
          <w:tcPr>
            <w:tcW w:w="2254" w:type="dxa"/>
          </w:tcPr>
          <w:p w:rsidR="002943A5" w:rsidRDefault="002943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Cold sores (herpes)</w:t>
            </w:r>
          </w:p>
        </w:tc>
        <w:tc>
          <w:tcPr>
            <w:tcW w:w="4687" w:type="dxa"/>
          </w:tcPr>
          <w:p w:rsidR="002943A5" w:rsidRDefault="002943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None</w:t>
            </w:r>
          </w:p>
        </w:tc>
        <w:tc>
          <w:tcPr>
            <w:tcW w:w="3544" w:type="dxa"/>
          </w:tcPr>
          <w:p w:rsidR="002943A5" w:rsidRDefault="002943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Avoid sharing towels. Disinfect toys if put in mouth.</w:t>
            </w:r>
          </w:p>
        </w:tc>
      </w:tr>
      <w:tr w:rsidR="002943A5" w:rsidTr="002943A5">
        <w:tc>
          <w:tcPr>
            <w:tcW w:w="2254" w:type="dxa"/>
          </w:tcPr>
          <w:p w:rsidR="002943A5" w:rsidRDefault="002943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Conjunctivitis</w:t>
            </w:r>
          </w:p>
        </w:tc>
        <w:tc>
          <w:tcPr>
            <w:tcW w:w="4687" w:type="dxa"/>
          </w:tcPr>
          <w:p w:rsidR="002943A5" w:rsidRDefault="00F664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All discharge needs to be completely cleared before returning to Stowey Bears</w:t>
            </w:r>
          </w:p>
          <w:p w:rsidR="00F66413" w:rsidRDefault="00F66413">
            <w:pPr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2943A5" w:rsidRDefault="002943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If an outbreak or cluster occurs contact PH. </w:t>
            </w:r>
          </w:p>
        </w:tc>
      </w:tr>
      <w:tr w:rsidR="002943A5" w:rsidTr="002943A5">
        <w:tc>
          <w:tcPr>
            <w:tcW w:w="2254" w:type="dxa"/>
          </w:tcPr>
          <w:p w:rsidR="002943A5" w:rsidRDefault="00F664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Respiratory infections including Covid-19</w:t>
            </w:r>
          </w:p>
        </w:tc>
        <w:tc>
          <w:tcPr>
            <w:tcW w:w="4687" w:type="dxa"/>
          </w:tcPr>
          <w:p w:rsidR="002943A5" w:rsidRDefault="00F664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Children and young people should not attend if they have a high temperature and are unwell.</w:t>
            </w:r>
          </w:p>
          <w:p w:rsidR="00F66413" w:rsidRDefault="00F664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Children and young people who have a positive test result for Covid-19 should not attend the setting for 3 days after the day of the test. </w:t>
            </w:r>
          </w:p>
        </w:tc>
        <w:tc>
          <w:tcPr>
            <w:tcW w:w="3544" w:type="dxa"/>
          </w:tcPr>
          <w:p w:rsidR="002943A5" w:rsidRDefault="00F664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Outbreak of Covid cases need to be reported to Public Health</w:t>
            </w:r>
          </w:p>
        </w:tc>
      </w:tr>
      <w:tr w:rsidR="002943A5" w:rsidTr="002943A5">
        <w:tc>
          <w:tcPr>
            <w:tcW w:w="2254" w:type="dxa"/>
          </w:tcPr>
          <w:p w:rsidR="002943A5" w:rsidRDefault="00F664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Diarrhoea and Vomiting </w:t>
            </w:r>
          </w:p>
        </w:tc>
        <w:tc>
          <w:tcPr>
            <w:tcW w:w="4687" w:type="dxa"/>
          </w:tcPr>
          <w:p w:rsidR="002943A5" w:rsidRDefault="00F664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Staff and children can return to Stowey Bears 48 hours after their last bout of illness. </w:t>
            </w:r>
          </w:p>
        </w:tc>
        <w:tc>
          <w:tcPr>
            <w:tcW w:w="3544" w:type="dxa"/>
          </w:tcPr>
          <w:p w:rsidR="002943A5" w:rsidRDefault="00F664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Record cases and report to Public Health, if particular cases of diarrhoea and vomiting are identified – E-Coli, Hep A</w:t>
            </w:r>
          </w:p>
        </w:tc>
      </w:tr>
      <w:tr w:rsidR="002943A5" w:rsidTr="002943A5">
        <w:tc>
          <w:tcPr>
            <w:tcW w:w="2254" w:type="dxa"/>
          </w:tcPr>
          <w:p w:rsidR="002943A5" w:rsidRDefault="00F6641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Diptheria</w:t>
            </w:r>
            <w:proofErr w:type="spellEnd"/>
            <w:r>
              <w:rPr>
                <w:sz w:val="28"/>
                <w:szCs w:val="28"/>
              </w:rPr>
              <w:t>*</w:t>
            </w:r>
          </w:p>
        </w:tc>
        <w:tc>
          <w:tcPr>
            <w:tcW w:w="4687" w:type="dxa"/>
          </w:tcPr>
          <w:p w:rsidR="002943A5" w:rsidRDefault="00F664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Exclusion is essential. Always consult with your UKHSA HPT (</w:t>
            </w:r>
            <w:hyperlink r:id="rId4" w:history="1">
              <w:r w:rsidRPr="006559FF">
                <w:rPr>
                  <w:rStyle w:val="Hyperlink"/>
                  <w:sz w:val="28"/>
                  <w:szCs w:val="28"/>
                </w:rPr>
                <w:t>http://www.gov.uk/health-protection</w:t>
              </w:r>
            </w:hyperlink>
            <w:r>
              <w:rPr>
                <w:sz w:val="28"/>
                <w:szCs w:val="28"/>
              </w:rPr>
              <w:t xml:space="preserve"> team </w:t>
            </w:r>
          </w:p>
        </w:tc>
        <w:tc>
          <w:tcPr>
            <w:tcW w:w="3544" w:type="dxa"/>
          </w:tcPr>
          <w:p w:rsidR="002943A5" w:rsidRDefault="00F664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Preventable by vaccination. Family mut be excluded until illness is cleared. </w:t>
            </w:r>
          </w:p>
        </w:tc>
      </w:tr>
      <w:tr w:rsidR="002943A5" w:rsidTr="002943A5">
        <w:tc>
          <w:tcPr>
            <w:tcW w:w="2254" w:type="dxa"/>
          </w:tcPr>
          <w:p w:rsidR="002943A5" w:rsidRDefault="00F664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Flu (Influenza) or influenza like illness</w:t>
            </w:r>
          </w:p>
        </w:tc>
        <w:tc>
          <w:tcPr>
            <w:tcW w:w="4687" w:type="dxa"/>
          </w:tcPr>
          <w:p w:rsidR="002943A5" w:rsidRDefault="00F664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Until recovered. </w:t>
            </w:r>
          </w:p>
        </w:tc>
        <w:tc>
          <w:tcPr>
            <w:tcW w:w="3544" w:type="dxa"/>
          </w:tcPr>
          <w:p w:rsidR="002943A5" w:rsidRDefault="00837B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Report outbreaks to Public Health </w:t>
            </w:r>
          </w:p>
        </w:tc>
      </w:tr>
      <w:tr w:rsidR="002943A5" w:rsidTr="002943A5">
        <w:tc>
          <w:tcPr>
            <w:tcW w:w="2254" w:type="dxa"/>
          </w:tcPr>
          <w:p w:rsidR="002943A5" w:rsidRDefault="00837B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Glandular Fever </w:t>
            </w:r>
          </w:p>
        </w:tc>
        <w:tc>
          <w:tcPr>
            <w:tcW w:w="4687" w:type="dxa"/>
          </w:tcPr>
          <w:p w:rsidR="002943A5" w:rsidRDefault="00837B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None</w:t>
            </w:r>
          </w:p>
        </w:tc>
        <w:tc>
          <w:tcPr>
            <w:tcW w:w="3544" w:type="dxa"/>
          </w:tcPr>
          <w:p w:rsidR="002943A5" w:rsidRDefault="002943A5">
            <w:pPr>
              <w:rPr>
                <w:sz w:val="28"/>
                <w:szCs w:val="28"/>
              </w:rPr>
            </w:pPr>
          </w:p>
        </w:tc>
      </w:tr>
      <w:tr w:rsidR="002943A5" w:rsidTr="002943A5">
        <w:tc>
          <w:tcPr>
            <w:tcW w:w="2254" w:type="dxa"/>
          </w:tcPr>
          <w:p w:rsidR="002943A5" w:rsidRDefault="00837B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Hand, foot and Mouth</w:t>
            </w:r>
          </w:p>
        </w:tc>
        <w:tc>
          <w:tcPr>
            <w:tcW w:w="4687" w:type="dxa"/>
          </w:tcPr>
          <w:p w:rsidR="002943A5" w:rsidRDefault="00837B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Exclusion period of minimum FIVE DAYS</w:t>
            </w:r>
          </w:p>
        </w:tc>
        <w:tc>
          <w:tcPr>
            <w:tcW w:w="3544" w:type="dxa"/>
          </w:tcPr>
          <w:p w:rsidR="002943A5" w:rsidRDefault="00837B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Very contagious – report to Public Health</w:t>
            </w:r>
          </w:p>
        </w:tc>
      </w:tr>
      <w:tr w:rsidR="002943A5" w:rsidTr="002943A5">
        <w:tc>
          <w:tcPr>
            <w:tcW w:w="2254" w:type="dxa"/>
          </w:tcPr>
          <w:p w:rsidR="002943A5" w:rsidRDefault="00837B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Headlice</w:t>
            </w:r>
          </w:p>
        </w:tc>
        <w:tc>
          <w:tcPr>
            <w:tcW w:w="4687" w:type="dxa"/>
          </w:tcPr>
          <w:p w:rsidR="002943A5" w:rsidRDefault="00837B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None – Lice must be treated </w:t>
            </w:r>
          </w:p>
        </w:tc>
        <w:tc>
          <w:tcPr>
            <w:tcW w:w="3544" w:type="dxa"/>
          </w:tcPr>
          <w:p w:rsidR="002943A5" w:rsidRDefault="002943A5">
            <w:pPr>
              <w:rPr>
                <w:sz w:val="28"/>
                <w:szCs w:val="28"/>
              </w:rPr>
            </w:pPr>
          </w:p>
        </w:tc>
      </w:tr>
      <w:tr w:rsidR="002943A5" w:rsidTr="002943A5">
        <w:tc>
          <w:tcPr>
            <w:tcW w:w="2254" w:type="dxa"/>
          </w:tcPr>
          <w:p w:rsidR="002943A5" w:rsidRDefault="00837B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Hepatitis A</w:t>
            </w:r>
          </w:p>
        </w:tc>
        <w:tc>
          <w:tcPr>
            <w:tcW w:w="4687" w:type="dxa"/>
          </w:tcPr>
          <w:p w:rsidR="002943A5" w:rsidRDefault="00837B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Exclude until 7 days after onset of jaundice (or 7 days after symptoms onset if no jaundice)</w:t>
            </w:r>
          </w:p>
        </w:tc>
        <w:tc>
          <w:tcPr>
            <w:tcW w:w="3544" w:type="dxa"/>
          </w:tcPr>
          <w:p w:rsidR="002943A5" w:rsidRDefault="00837B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If an outbreak of Hepatitis A report to Public Health</w:t>
            </w:r>
          </w:p>
        </w:tc>
      </w:tr>
      <w:tr w:rsidR="002943A5" w:rsidTr="002943A5">
        <w:tc>
          <w:tcPr>
            <w:tcW w:w="2254" w:type="dxa"/>
          </w:tcPr>
          <w:p w:rsidR="002943A5" w:rsidRDefault="00837B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Hepatitis B, C, HIV</w:t>
            </w:r>
          </w:p>
        </w:tc>
        <w:tc>
          <w:tcPr>
            <w:tcW w:w="4687" w:type="dxa"/>
          </w:tcPr>
          <w:p w:rsidR="002943A5" w:rsidRDefault="00837B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None </w:t>
            </w:r>
          </w:p>
        </w:tc>
        <w:tc>
          <w:tcPr>
            <w:tcW w:w="3544" w:type="dxa"/>
          </w:tcPr>
          <w:p w:rsidR="002943A5" w:rsidRDefault="00837B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Hepatitis B, C and HIV are blood viruses that are not contagious through contact.</w:t>
            </w:r>
          </w:p>
          <w:p w:rsidR="00837BC0" w:rsidRDefault="00837B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Contact Public Health. </w:t>
            </w:r>
          </w:p>
        </w:tc>
      </w:tr>
      <w:tr w:rsidR="002943A5" w:rsidTr="002943A5">
        <w:tc>
          <w:tcPr>
            <w:tcW w:w="2254" w:type="dxa"/>
          </w:tcPr>
          <w:p w:rsidR="002943A5" w:rsidRDefault="00837B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Impetigo</w:t>
            </w:r>
          </w:p>
        </w:tc>
        <w:tc>
          <w:tcPr>
            <w:tcW w:w="4687" w:type="dxa"/>
          </w:tcPr>
          <w:p w:rsidR="002943A5" w:rsidRDefault="00837B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Until lesions are crusted or healed, or 48 hours after starting antibiotic treatment </w:t>
            </w:r>
          </w:p>
        </w:tc>
        <w:tc>
          <w:tcPr>
            <w:tcW w:w="3544" w:type="dxa"/>
          </w:tcPr>
          <w:p w:rsidR="002943A5" w:rsidRDefault="00837B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Antibiotic treatment speeds heeling the infectious period. </w:t>
            </w:r>
          </w:p>
        </w:tc>
      </w:tr>
      <w:tr w:rsidR="002943A5" w:rsidTr="002943A5">
        <w:tc>
          <w:tcPr>
            <w:tcW w:w="2254" w:type="dxa"/>
          </w:tcPr>
          <w:p w:rsidR="002943A5" w:rsidRDefault="00837B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Measles</w:t>
            </w:r>
          </w:p>
        </w:tc>
        <w:tc>
          <w:tcPr>
            <w:tcW w:w="4687" w:type="dxa"/>
          </w:tcPr>
          <w:p w:rsidR="002943A5" w:rsidRDefault="00837B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days from onset of rash and well enough</w:t>
            </w:r>
          </w:p>
        </w:tc>
        <w:tc>
          <w:tcPr>
            <w:tcW w:w="3544" w:type="dxa"/>
          </w:tcPr>
          <w:p w:rsidR="00837BC0" w:rsidRDefault="00837B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Preventable by vaccination with 2 MMR.</w:t>
            </w:r>
          </w:p>
        </w:tc>
      </w:tr>
      <w:tr w:rsidR="002943A5" w:rsidTr="002943A5">
        <w:tc>
          <w:tcPr>
            <w:tcW w:w="2254" w:type="dxa"/>
          </w:tcPr>
          <w:p w:rsidR="002943A5" w:rsidRDefault="00837B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Meningococcal meningitis or septicaemia</w:t>
            </w:r>
          </w:p>
        </w:tc>
        <w:tc>
          <w:tcPr>
            <w:tcW w:w="4687" w:type="dxa"/>
          </w:tcPr>
          <w:p w:rsidR="002943A5" w:rsidRDefault="00837B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Until recovered </w:t>
            </w:r>
          </w:p>
        </w:tc>
        <w:tc>
          <w:tcPr>
            <w:tcW w:w="3544" w:type="dxa"/>
          </w:tcPr>
          <w:p w:rsidR="002943A5" w:rsidRDefault="00837B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Meningitis ACWY and B are preventable by vaccination. </w:t>
            </w:r>
          </w:p>
        </w:tc>
      </w:tr>
      <w:tr w:rsidR="002943A5" w:rsidTr="002943A5">
        <w:tc>
          <w:tcPr>
            <w:tcW w:w="2254" w:type="dxa"/>
          </w:tcPr>
          <w:p w:rsidR="002943A5" w:rsidRDefault="00837B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Meningitis due to other bacteria</w:t>
            </w:r>
          </w:p>
        </w:tc>
        <w:tc>
          <w:tcPr>
            <w:tcW w:w="4687" w:type="dxa"/>
          </w:tcPr>
          <w:p w:rsidR="002943A5" w:rsidRDefault="00837B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Until recovered </w:t>
            </w:r>
          </w:p>
        </w:tc>
        <w:tc>
          <w:tcPr>
            <w:tcW w:w="3544" w:type="dxa"/>
          </w:tcPr>
          <w:p w:rsidR="002943A5" w:rsidRDefault="00837B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Hib and pneumococcal meningitis are preventable by vaccination. </w:t>
            </w:r>
          </w:p>
        </w:tc>
      </w:tr>
      <w:tr w:rsidR="002943A5" w:rsidTr="002943A5">
        <w:tc>
          <w:tcPr>
            <w:tcW w:w="2254" w:type="dxa"/>
          </w:tcPr>
          <w:p w:rsidR="002943A5" w:rsidRDefault="00376B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Meningitis viral</w:t>
            </w:r>
          </w:p>
        </w:tc>
        <w:tc>
          <w:tcPr>
            <w:tcW w:w="4687" w:type="dxa"/>
          </w:tcPr>
          <w:p w:rsidR="002943A5" w:rsidRDefault="00376B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Until recovered </w:t>
            </w:r>
          </w:p>
        </w:tc>
        <w:tc>
          <w:tcPr>
            <w:tcW w:w="3544" w:type="dxa"/>
          </w:tcPr>
          <w:p w:rsidR="002943A5" w:rsidRDefault="002943A5">
            <w:pPr>
              <w:rPr>
                <w:sz w:val="28"/>
                <w:szCs w:val="28"/>
              </w:rPr>
            </w:pPr>
          </w:p>
        </w:tc>
      </w:tr>
      <w:tr w:rsidR="002943A5" w:rsidTr="002943A5">
        <w:tc>
          <w:tcPr>
            <w:tcW w:w="2254" w:type="dxa"/>
          </w:tcPr>
          <w:p w:rsidR="002943A5" w:rsidRDefault="00376B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MRSA</w:t>
            </w:r>
          </w:p>
        </w:tc>
        <w:tc>
          <w:tcPr>
            <w:tcW w:w="4687" w:type="dxa"/>
          </w:tcPr>
          <w:p w:rsidR="002943A5" w:rsidRDefault="00376B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Until recovered</w:t>
            </w:r>
          </w:p>
        </w:tc>
        <w:tc>
          <w:tcPr>
            <w:tcW w:w="3544" w:type="dxa"/>
          </w:tcPr>
          <w:p w:rsidR="002943A5" w:rsidRDefault="00376B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Good hygiene, in particular handwashing and environmental cleaning are important to minimise spread.</w:t>
            </w:r>
          </w:p>
        </w:tc>
      </w:tr>
      <w:tr w:rsidR="00376B00" w:rsidTr="002943A5">
        <w:tc>
          <w:tcPr>
            <w:tcW w:w="2254" w:type="dxa"/>
          </w:tcPr>
          <w:p w:rsidR="00376B00" w:rsidRDefault="00376B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Mumps</w:t>
            </w:r>
          </w:p>
        </w:tc>
        <w:tc>
          <w:tcPr>
            <w:tcW w:w="4687" w:type="dxa"/>
          </w:tcPr>
          <w:p w:rsidR="00376B00" w:rsidRDefault="00376B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 days after onset of swelling </w:t>
            </w:r>
          </w:p>
        </w:tc>
        <w:tc>
          <w:tcPr>
            <w:tcW w:w="3544" w:type="dxa"/>
          </w:tcPr>
          <w:p w:rsidR="00376B00" w:rsidRDefault="00376B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Preventable by vaccination with 2 MMR.</w:t>
            </w:r>
          </w:p>
        </w:tc>
      </w:tr>
      <w:tr w:rsidR="00376B00" w:rsidTr="002943A5">
        <w:tc>
          <w:tcPr>
            <w:tcW w:w="2254" w:type="dxa"/>
          </w:tcPr>
          <w:p w:rsidR="00376B00" w:rsidRDefault="00376B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Ringworm</w:t>
            </w:r>
          </w:p>
        </w:tc>
        <w:tc>
          <w:tcPr>
            <w:tcW w:w="4687" w:type="dxa"/>
          </w:tcPr>
          <w:p w:rsidR="00376B00" w:rsidRDefault="00376B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Not usually required – You must see a GP</w:t>
            </w:r>
          </w:p>
        </w:tc>
        <w:tc>
          <w:tcPr>
            <w:tcW w:w="3544" w:type="dxa"/>
          </w:tcPr>
          <w:p w:rsidR="00376B00" w:rsidRDefault="00376B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Treatment is required. </w:t>
            </w:r>
          </w:p>
        </w:tc>
      </w:tr>
      <w:tr w:rsidR="00376B00" w:rsidTr="002943A5">
        <w:tc>
          <w:tcPr>
            <w:tcW w:w="2254" w:type="dxa"/>
          </w:tcPr>
          <w:p w:rsidR="00376B00" w:rsidRDefault="00376B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Rubella (German measles)</w:t>
            </w:r>
          </w:p>
        </w:tc>
        <w:tc>
          <w:tcPr>
            <w:tcW w:w="4687" w:type="dxa"/>
          </w:tcPr>
          <w:p w:rsidR="00376B00" w:rsidRDefault="00376B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days from onset of rash</w:t>
            </w:r>
          </w:p>
        </w:tc>
        <w:tc>
          <w:tcPr>
            <w:tcW w:w="3544" w:type="dxa"/>
          </w:tcPr>
          <w:p w:rsidR="00376B00" w:rsidRDefault="00376B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Preventable by vaccination with 2 MMR </w:t>
            </w:r>
          </w:p>
        </w:tc>
      </w:tr>
      <w:tr w:rsidR="00376B00" w:rsidTr="002943A5">
        <w:tc>
          <w:tcPr>
            <w:tcW w:w="2254" w:type="dxa"/>
          </w:tcPr>
          <w:p w:rsidR="00376B00" w:rsidRDefault="00376B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Scabies </w:t>
            </w:r>
          </w:p>
        </w:tc>
        <w:tc>
          <w:tcPr>
            <w:tcW w:w="4687" w:type="dxa"/>
          </w:tcPr>
          <w:p w:rsidR="00376B00" w:rsidRDefault="00376B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Can return after first treatment if they are well.</w:t>
            </w:r>
          </w:p>
        </w:tc>
        <w:tc>
          <w:tcPr>
            <w:tcW w:w="3544" w:type="dxa"/>
          </w:tcPr>
          <w:p w:rsidR="00376B00" w:rsidRDefault="00376B00">
            <w:pPr>
              <w:rPr>
                <w:sz w:val="28"/>
                <w:szCs w:val="28"/>
              </w:rPr>
            </w:pPr>
          </w:p>
        </w:tc>
      </w:tr>
      <w:tr w:rsidR="00376B00" w:rsidTr="002943A5">
        <w:tc>
          <w:tcPr>
            <w:tcW w:w="2254" w:type="dxa"/>
          </w:tcPr>
          <w:p w:rsidR="00376B00" w:rsidRDefault="00376B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Scarlet fever </w:t>
            </w:r>
          </w:p>
        </w:tc>
        <w:tc>
          <w:tcPr>
            <w:tcW w:w="4687" w:type="dxa"/>
          </w:tcPr>
          <w:p w:rsidR="00376B00" w:rsidRDefault="00376B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Exclude until 48 hours after starting antibiotic treatment </w:t>
            </w:r>
          </w:p>
        </w:tc>
        <w:tc>
          <w:tcPr>
            <w:tcW w:w="3544" w:type="dxa"/>
          </w:tcPr>
          <w:p w:rsidR="00376B00" w:rsidRDefault="00376B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 person can be infectious for up to 2 weeks if antibiotics are not administered. </w:t>
            </w:r>
          </w:p>
        </w:tc>
      </w:tr>
      <w:tr w:rsidR="00376B00" w:rsidTr="002943A5">
        <w:tc>
          <w:tcPr>
            <w:tcW w:w="2254" w:type="dxa"/>
          </w:tcPr>
          <w:p w:rsidR="00376B00" w:rsidRDefault="00376B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Slapped cheek/Fifth disease</w:t>
            </w:r>
          </w:p>
        </w:tc>
        <w:tc>
          <w:tcPr>
            <w:tcW w:w="4687" w:type="dxa"/>
          </w:tcPr>
          <w:p w:rsidR="00376B00" w:rsidRDefault="00376B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None (once rash has developed)</w:t>
            </w:r>
          </w:p>
        </w:tc>
        <w:tc>
          <w:tcPr>
            <w:tcW w:w="3544" w:type="dxa"/>
          </w:tcPr>
          <w:p w:rsidR="00376B00" w:rsidRDefault="00376B00">
            <w:pPr>
              <w:rPr>
                <w:sz w:val="28"/>
                <w:szCs w:val="28"/>
              </w:rPr>
            </w:pPr>
          </w:p>
        </w:tc>
      </w:tr>
      <w:tr w:rsidR="00376B00" w:rsidTr="002943A5">
        <w:tc>
          <w:tcPr>
            <w:tcW w:w="2254" w:type="dxa"/>
          </w:tcPr>
          <w:p w:rsidR="00376B00" w:rsidRDefault="00376B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Threadworms </w:t>
            </w:r>
          </w:p>
        </w:tc>
        <w:tc>
          <w:tcPr>
            <w:tcW w:w="4687" w:type="dxa"/>
          </w:tcPr>
          <w:p w:rsidR="00376B00" w:rsidRDefault="00376B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Must see a GP</w:t>
            </w:r>
          </w:p>
        </w:tc>
        <w:tc>
          <w:tcPr>
            <w:tcW w:w="3544" w:type="dxa"/>
          </w:tcPr>
          <w:p w:rsidR="00376B00" w:rsidRDefault="00376B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Treatment recommended for whole household.</w:t>
            </w:r>
          </w:p>
        </w:tc>
      </w:tr>
      <w:tr w:rsidR="00376B00" w:rsidTr="002943A5">
        <w:tc>
          <w:tcPr>
            <w:tcW w:w="2254" w:type="dxa"/>
          </w:tcPr>
          <w:p w:rsidR="00376B00" w:rsidRDefault="00376B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Tonsilitis</w:t>
            </w:r>
          </w:p>
        </w:tc>
        <w:tc>
          <w:tcPr>
            <w:tcW w:w="4687" w:type="dxa"/>
          </w:tcPr>
          <w:p w:rsidR="00376B00" w:rsidRDefault="00376B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None – Child must be well enough to attend</w:t>
            </w:r>
          </w:p>
        </w:tc>
        <w:tc>
          <w:tcPr>
            <w:tcW w:w="3544" w:type="dxa"/>
          </w:tcPr>
          <w:p w:rsidR="00376B00" w:rsidRDefault="00376B00">
            <w:pPr>
              <w:rPr>
                <w:sz w:val="28"/>
                <w:szCs w:val="28"/>
              </w:rPr>
            </w:pPr>
          </w:p>
        </w:tc>
      </w:tr>
      <w:tr w:rsidR="00376B00" w:rsidTr="002943A5">
        <w:tc>
          <w:tcPr>
            <w:tcW w:w="2254" w:type="dxa"/>
          </w:tcPr>
          <w:p w:rsidR="00376B00" w:rsidRDefault="00376B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Tuberculosis (TB)</w:t>
            </w:r>
          </w:p>
        </w:tc>
        <w:tc>
          <w:tcPr>
            <w:tcW w:w="4687" w:type="dxa"/>
          </w:tcPr>
          <w:p w:rsidR="00376B00" w:rsidRDefault="00376B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Until at least 2 weeks after the start of effective antibiotics treatment </w:t>
            </w:r>
          </w:p>
          <w:p w:rsidR="00376B00" w:rsidRDefault="00376B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Exclusion not required for non-pulmonary or latent TB infection </w:t>
            </w:r>
          </w:p>
        </w:tc>
        <w:tc>
          <w:tcPr>
            <w:tcW w:w="3544" w:type="dxa"/>
          </w:tcPr>
          <w:p w:rsidR="00376B00" w:rsidRDefault="00376B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Only pulmonary (Lung) TB is infectious.</w:t>
            </w:r>
          </w:p>
        </w:tc>
      </w:tr>
      <w:tr w:rsidR="00376B00" w:rsidTr="002943A5">
        <w:tc>
          <w:tcPr>
            <w:tcW w:w="2254" w:type="dxa"/>
          </w:tcPr>
          <w:p w:rsidR="00376B00" w:rsidRDefault="00376B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Warts and Verruca’s </w:t>
            </w:r>
          </w:p>
        </w:tc>
        <w:tc>
          <w:tcPr>
            <w:tcW w:w="4687" w:type="dxa"/>
          </w:tcPr>
          <w:p w:rsidR="00376B00" w:rsidRDefault="00376B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None </w:t>
            </w:r>
          </w:p>
        </w:tc>
        <w:tc>
          <w:tcPr>
            <w:tcW w:w="3544" w:type="dxa"/>
          </w:tcPr>
          <w:p w:rsidR="00376B00" w:rsidRDefault="00376B00">
            <w:pPr>
              <w:rPr>
                <w:sz w:val="28"/>
                <w:szCs w:val="28"/>
              </w:rPr>
            </w:pPr>
          </w:p>
        </w:tc>
      </w:tr>
      <w:tr w:rsidR="00376B00" w:rsidTr="002943A5">
        <w:tc>
          <w:tcPr>
            <w:tcW w:w="2254" w:type="dxa"/>
          </w:tcPr>
          <w:p w:rsidR="00376B00" w:rsidRDefault="000A27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Whooping cough</w:t>
            </w:r>
          </w:p>
        </w:tc>
        <w:tc>
          <w:tcPr>
            <w:tcW w:w="4687" w:type="dxa"/>
          </w:tcPr>
          <w:p w:rsidR="00376B00" w:rsidRDefault="000A27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days from starting antibiotic treatment, or 21 days from onset of symptoms if no antibiotics. </w:t>
            </w:r>
          </w:p>
        </w:tc>
        <w:tc>
          <w:tcPr>
            <w:tcW w:w="3544" w:type="dxa"/>
          </w:tcPr>
          <w:p w:rsidR="00376B00" w:rsidRDefault="000A27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Preventable by vaccination. </w:t>
            </w:r>
          </w:p>
          <w:p w:rsidR="000A27B0" w:rsidRDefault="000A27B0">
            <w:pPr>
              <w:rPr>
                <w:sz w:val="28"/>
                <w:szCs w:val="28"/>
              </w:rPr>
            </w:pPr>
          </w:p>
        </w:tc>
      </w:tr>
    </w:tbl>
    <w:p w:rsidR="002943A5" w:rsidRPr="002943A5" w:rsidRDefault="002943A5">
      <w:pPr>
        <w:rPr>
          <w:sz w:val="28"/>
          <w:szCs w:val="28"/>
        </w:rPr>
      </w:pPr>
    </w:p>
    <w:p w:rsidR="002943A5" w:rsidRPr="000A27B0" w:rsidRDefault="000A27B0">
      <w:pPr>
        <w:rPr>
          <w:sz w:val="32"/>
          <w:szCs w:val="32"/>
        </w:rPr>
      </w:pPr>
      <w:r w:rsidRPr="000A27B0">
        <w:rPr>
          <w:sz w:val="32"/>
          <w:szCs w:val="32"/>
        </w:rPr>
        <w:t>Public Health contact number :</w:t>
      </w:r>
      <w:r>
        <w:rPr>
          <w:sz w:val="32"/>
          <w:szCs w:val="32"/>
        </w:rPr>
        <w:t xml:space="preserve"> 0300 303 8162</w:t>
      </w:r>
    </w:p>
    <w:sectPr w:rsidR="002943A5" w:rsidRPr="000A27B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43A5"/>
    <w:rsid w:val="00012057"/>
    <w:rsid w:val="000A27B0"/>
    <w:rsid w:val="002943A5"/>
    <w:rsid w:val="00376B00"/>
    <w:rsid w:val="00740EBC"/>
    <w:rsid w:val="00837BC0"/>
    <w:rsid w:val="00DB0961"/>
    <w:rsid w:val="00E63F27"/>
    <w:rsid w:val="00EB29F1"/>
    <w:rsid w:val="00F66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AD7F56"/>
  <w15:chartTrackingRefBased/>
  <w15:docId w15:val="{87E82391-5B87-478C-81BB-F9AFEA5C0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943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6641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664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gov.uk/health-protec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Cripwell</dc:creator>
  <cp:keywords/>
  <dc:description/>
  <cp:lastModifiedBy>Lisa Cripwell</cp:lastModifiedBy>
  <cp:revision>1</cp:revision>
  <dcterms:created xsi:type="dcterms:W3CDTF">2024-10-08T13:19:00Z</dcterms:created>
  <dcterms:modified xsi:type="dcterms:W3CDTF">2024-10-08T14:03:00Z</dcterms:modified>
</cp:coreProperties>
</file>